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CO2 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[e.g., aboveground biomass:</w:t>
      </w:r>
      <w:r>
        <w:t xml:space="preserve"> </w:t>
      </w:r>
      <w:r>
        <w:t xml:space="preserve">(</w:t>
      </w:r>
      <w:r>
        <w:rPr>
          <w:b/>
        </w:rPr>
        <w:t xml:space="preserve">???</w:t>
      </w:r>
      <w:r>
        <w:t xml:space="preserve">)</w:t>
      </w:r>
      <w:r>
        <w:t xml:space="preserve">;</w:t>
      </w:r>
      <w:r>
        <w:t xml:space="preserve"> </w:t>
      </w:r>
      <w:r>
        <w:rPr>
          <w:b/>
        </w:rPr>
        <w:t xml:space="preserve">REF</w:t>
      </w:r>
      <w:r>
        <w:t xml:space="preserve">; gross primary productivity,</w:t>
      </w:r>
      <w:r>
        <w:t xml:space="preserve"> </w:t>
      </w:r>
      <m:oMath>
        <m:r>
          <m:t>G</m:t>
        </m:r>
        <m:r>
          <m:t>P</m:t>
        </m:r>
        <m:r>
          <m:t>P</m:t>
        </m:r>
      </m:oMath>
      <w:r>
        <w:t xml:space="preserve">:</w:t>
      </w:r>
      <w:r>
        <w:t xml:space="preserve"> </w:t>
      </w:r>
      <w:r>
        <w:t xml:space="preserve">Li and Xiao (2019)</w:t>
      </w:r>
      <w:r>
        <w:t xml:space="preserve">;</w:t>
      </w:r>
      <w:r>
        <w:t xml:space="preserve"> </w:t>
      </w:r>
      <w:r>
        <w:rPr>
          <w:b/>
        </w:rPr>
        <w:t xml:space="preserve">REFS for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t>
      </w:r>
      <w:r>
        <w:rPr>
          <w:b/>
        </w:rPr>
        <w:t xml:space="preserve">???</w:t>
      </w:r>
      <w:r>
        <w:t xml:space="preserve">)</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w:t>
      </w:r>
      <w:r>
        <w:rPr>
          <w:vertAlign w:val="superscript"/>
        </w:rPr>
        <w:t xml:space="preserve">-1</w:t>
      </w:r>
      <w:r>
        <w:t xml:space="preserve"> </w:t>
      </w:r>
      <w:r>
        <w:t xml:space="preserve">from YEAR-YEAR (Pan et al 2011;</w:t>
      </w:r>
      <w:r>
        <w:t xml:space="preserve"> </w:t>
      </w:r>
      <w:r>
        <w:rPr>
          <w:b/>
        </w:rPr>
        <w:t xml:space="preserve">UPDATE</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 for all variables but the two exceptions noted below.</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had significantly higher stocks than the other biomes, and boreal forests in the lowest, with tropical and temperate broadleaf forests in between.</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signficantly with stand age (Tables 1, S2, Figs. 6-11, S1-S26; detailed below).</w:t>
      </w:r>
    </w:p>
    <w:p>
      <w:pPr>
        <w:pStyle w:val="BodyText"/>
      </w:pPr>
      <w:r>
        <w:rPr>
          <w:i/>
        </w:rPr>
        <w:t xml:space="preserve">ForC</w:t>
      </w:r>
      <w:r>
        <w:t xml:space="preserve"> </w:t>
      </w:r>
      <w:r>
        <w:t xml:space="preserve">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(with the caveats that they are unlikely to be accurate representations of C cycling for any particular forest, and that these sample means almost certainly do not represent true biome means).</w:t>
      </w:r>
    </w:p>
    <w:p>
      <w:pPr>
        <w:pStyle w:val="BodyText"/>
      </w:pPr>
      <w:r>
        <w:t xml:space="preserve">There are of course notable holes in the ForC variable coverage, as discussed by Anderson-Teixeira et al. (xxxx), that limit the scope of our inferences here. Notably, ForC lacks coverage of fluxes to herbivores and higher consumers, along with the woody mortality and dead wood stocks.</w:t>
      </w:r>
      <w:r>
        <w:t xml:space="preserve"> </w:t>
      </w:r>
      <w:r>
        <w:t xml:space="preserve">Geographically, all variables are poorly covered in Africa and Siberia, a common problem in the carbon-cycle community (Xu and Shang 2016 10.1016/j.jplph.2016.08.007, Schimel et al. 2015 10.1073/pnas.1407302112).</w:t>
      </w:r>
      <w:r>
        <w:t xml:space="preserve"> </w:t>
      </w:r>
      <w:r>
        <w:t xml:space="preserve">ForC does not include soil carbon, which is covered by other efforts (e.g. Köchy et al. 2015 10.5194/soil-1-351-2015).</w:t>
      </w:r>
      <w:r>
        <w:t xml:space="preserve"> </w:t>
      </w:r>
      <w:r>
        <w:t xml:space="preserve">ForC is not intended to replace databases that are specialized for particular parts of the C cycle analyses, e.g., aboveground biomass (REFS), land-atmosphere fluxes (Baldocchi et al. 2001 10.1175/1520-0477(2001)082&lt;2415:FANTTS&gt;2.3.CO;2), soil respiration (Jian et al. 2020 10.5194/essd-2020-136), or the human footprint in global forests (Magnani et al. 2007 10.1038/nature05847).</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 (Stoy et al. 2013 10.1016/j.agrformet.2012.11.004).</w:t>
      </w:r>
      <w:r>
        <w:t xml:space="preserve"> </w:t>
      </w:r>
      <w:r>
        <w:t xml:space="preserve">On the other, however, as noted above ForC derives data from multiple heterogeneous sources, often with large errors (standard deviations); as a result, the standard for C closure is relatively loose (cf Houghton 2020 10.1111/gcb.15050).</w:t>
      </w:r>
      <w:r>
        <w:t xml:space="preserve"> </w:t>
      </w:r>
      <w:r>
        <w:t xml:space="preserve">Nonetheless, the 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The overall high degree of closure implies that ForC 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 (Phillips et al. 2017 10.1007/s11104-016-3084-x, Williams et al. 2014 10.1016/j.rse.2013.10.034, Harmon et al. 2011 10.1029/2010JG001495), or producing internally consistent global data products (Wang et al. 2018 10.5194/gmd-11-3903-2018).</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w:t>
      </w:r>
      <w:r>
        <w:t xml:space="preserve"> </w:t>
      </w:r>
      <w:r>
        <w:rPr>
          <w:b/>
        </w:rPr>
        <w:t xml:space="preserve">???</w:t>
      </w:r>
      <w:r>
        <w:t xml:space="preserve">,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w:t>
      </w:r>
      <w:r>
        <w:t xml:space="preserve">(</w:t>
      </w:r>
      <w:r>
        <w:rPr>
          <w:b/>
        </w:rPr>
        <w:t xml:space="preserve">???</w:t>
      </w:r>
      <w:r>
        <w:t xml:space="preserve">)</w:t>
      </w:r>
      <w:r>
        <w:t xml:space="preserve">,</w:t>
      </w:r>
      <w:r>
        <w:t xml:space="preserve"> </w:t>
      </w:r>
      <w:r>
        <w:rPr>
          <w:b/>
        </w:rPr>
        <w:t xml:space="preserve">MORE REFS?</w:t>
      </w:r>
      <w:r>
        <w:t xml:space="preserve">; discussed further below], which accumulate carbon slowly relative to younger stands [</w:t>
      </w:r>
      <w:r>
        <w:t xml:space="preserve">(</w:t>
      </w:r>
      <w:r>
        <w:rPr>
          <w:b/>
        </w:rPr>
        <w:t xml:space="preserve">???</w:t>
      </w:r>
      <w:r>
        <w:t xml:space="preserve">)</w:t>
      </w:r>
      <w:r>
        <w:t xml:space="preserve">;</w:t>
      </w:r>
      <w:r>
        <w:t xml:space="preserve"> </w:t>
      </w:r>
      <w:r>
        <w:rPr>
          <w:b/>
        </w:rPr>
        <w:t xml:space="preserve">REFS</w:t>
      </w:r>
      <w:r>
        <w:t xml:space="preserve">), if at all (</w:t>
      </w:r>
      <w:r>
        <w:rPr>
          <w:b/>
        </w:rPr>
        <w:t xml:space="preserve">REFS</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 (</w:t>
      </w:r>
      <w:r>
        <w:rPr>
          <w:b/>
        </w:rPr>
        <w:t xml:space="preserve">REFS</w:t>
      </w:r>
      <w:r>
        <w:t xml:space="preserve">) or disequilibrium of</w:t>
      </w:r>
      <w:r>
        <w:t xml:space="preserve"> </w:t>
      </w:r>
      <m:oMath>
        <m:sSub>
          <m:e>
            <m:r>
              <m:t>R</m:t>
            </m:r>
          </m:e>
          <m:sub>
            <m:r>
              <m:t>s</m:t>
            </m:r>
            <m:r>
              <m:t>o</m:t>
            </m:r>
            <m:r>
              <m:t>i</m:t>
            </m:r>
            <m:r>
              <m:t>l</m:t>
            </m:r>
          </m:sub>
        </m:sSub>
      </m:oMath>
      <w:r>
        <w:t xml:space="preserve"> </w:t>
      </w:r>
      <w:r>
        <w:t xml:space="preserve">relative to C inputs [e.g., in peatlands where anoxic conditions inhibit decomposition;</w:t>
      </w:r>
      <w:r>
        <w:t xml:space="preserve"> </w:t>
      </w:r>
      <w:r>
        <w:rPr>
          <w:b/>
        </w:rPr>
        <w:t xml:space="preserve">REFS</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 [although they’re commonly mixed in with mature forests; e.g.,</w:t>
      </w:r>
      <w:r>
        <w:t xml:space="preserve"> </w:t>
      </w:r>
      <w:r>
        <w:rPr>
          <w:b/>
        </w:rPr>
        <w:t xml:space="preserve">REFS</w:t>
      </w:r>
      <w:r>
        <w:t xml:space="preserve">].</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r>
        <w:t xml:space="preserve"> </w:t>
      </w:r>
      <w:r>
        <w:rPr>
          <w:i/>
        </w:rPr>
        <w:t xml:space="preserve">Yet, data remain sparse, and further work will be required to explore age x climate interactions.Nevertheless, our broad-brush overview indicates that C cycling of regrowth forests is not only higher in the tropics, parallel to fluxes in mature forests</w:t>
      </w:r>
      <w:r>
        <w:rPr>
          <w:i/>
        </w:rPr>
        <w:t xml:space="preserve"> </w:t>
      </w:r>
      <w:r>
        <w:rPr>
          <w:i/>
        </w:rPr>
        <w:t xml:space="preserve">(Banbury Morgan</w:t>
      </w:r>
      <w:r>
        <w:rPr>
          <w:i/>
        </w:rPr>
        <w:t xml:space="preserve"> </w:t>
      </w:r>
      <w:r>
        <w:rPr>
          <w:i/>
          <w:i/>
        </w:rPr>
        <w:t xml:space="preserve">et al</w:t>
      </w:r>
      <w:r>
        <w:rPr>
          <w:i/>
        </w:rPr>
        <w:t xml:space="preserve"> </w:t>
      </w:r>
      <w:r>
        <w:rPr>
          <w:i/>
        </w:rPr>
        <w:t xml:space="preserve">n.d.)</w:t>
      </w:r>
      <w:r>
        <w:rPr>
          <w:i/>
        </w:rPr>
        <w:t xml:space="preserve">, but also that it accelerates more rapidly with stand age in the tropics, consistent with more rapid biomass accumulation.</w:t>
      </w:r>
    </w:p>
    <w:p>
      <w:pPr>
        <w:pStyle w:val="BodyText"/>
      </w:pPr>
      <w:r>
        <w:t xml:space="preserve">In contrast to C fluxes and biomass accumulation rates in regrowth forests, stocks showed less systematic variation across biomes.</w:t>
      </w:r>
      <w:r>
        <w:t xml:space="preserve"> </w:t>
      </w:r>
      <w:r>
        <w:t xml:space="preserve">For aboveground biomass, this Patterns are consistent with others studies showing that variation in forest biomass across broad climatic gradients is modest and constrained more by moisture than temperature</w:t>
      </w:r>
      <w:r>
        <w:t xml:space="preserve"> </w:t>
      </w:r>
      <w:r>
        <w:t xml:space="preserve">(</w:t>
      </w:r>
      <w:r>
        <w:rPr>
          <w:b/>
        </w:rPr>
        <w:t xml:space="preserve">???</w:t>
      </w:r>
      <w:r>
        <w:t xml:space="preserve">)</w:t>
      </w:r>
      <w:r>
        <w:t xml:space="preserve">.</w:t>
      </w:r>
      <w:r>
        <w:t xml:space="preserve"> </w:t>
      </w:r>
      <w:r>
        <w:t xml:space="preserve">(</w:t>
      </w:r>
      <w:r>
        <w:rPr>
          <w:b/>
        </w:rPr>
        <w:t xml:space="preserve">???</w:t>
      </w:r>
      <w:r>
        <w:t xml:space="preserve">)</w:t>
      </w:r>
      <w:r>
        <w:t xml:space="preserve">, using spaceborne lidar, showed a decline in aboveground biomass (all forests, including secondary) with latitude in the N hemisphere, but values exceeding tropical forests in coastal climates of both the southern and northern hemisphere.</w:t>
      </w:r>
      <w:r>
        <w:t xml:space="preserve"> </w:t>
      </w:r>
      <w:r>
        <w:t xml:space="preserve">Highest biomass forests are found in temperate oceanic climates (REF- , something in GEB, some global forest C map)</w:t>
      </w:r>
      <w:r>
        <w:t xml:space="preserve"> </w:t>
      </w:r>
      <w:r>
        <w:t xml:space="preserve">(</w:t>
      </w:r>
      <w:r>
        <w:rPr>
          <w:b/>
        </w:rPr>
        <w:t xml:space="preserve">???</w:t>
      </w:r>
      <w:r>
        <w:t xml:space="preserve">)</w:t>
      </w:r>
      <w:r>
        <w:t xml:space="preserve">.</w:t>
      </w:r>
      <w:r>
        <w:t xml:space="preserve"> </w:t>
      </w:r>
      <w:r>
        <w:t xml:space="preserve">Lack of synthesis comparing deadwood and organic layer across biomes, but see</w:t>
      </w:r>
      <w:r>
        <w:t xml:space="preserve"> </w:t>
      </w:r>
      <w:r>
        <w:t xml:space="preserve">Cook-Patton</w:t>
      </w:r>
      <w:r>
        <w:t xml:space="preserve"> </w:t>
      </w:r>
      <w:r>
        <w:rPr>
          <w:i/>
        </w:rPr>
        <w:t xml:space="preserve">et al</w:t>
      </w:r>
      <w:r>
        <w:t xml:space="preserve"> </w:t>
      </w:r>
      <w:r>
        <w:t xml:space="preserve">(2020)</w:t>
      </w:r>
      <w:r>
        <w:t xml:space="preserve"> </w:t>
      </w:r>
      <w:r>
        <w:t xml:space="preserve">for age trends.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(discuss NEP well, including)</w:t>
      </w:r>
      <w:r>
        <w:t xml:space="preserve"> </w:t>
      </w:r>
      <w:r>
        <w:t xml:space="preserve">NEP increases with log(age) to 100 –&gt; strongest C sinks are established secondary forests. (But presumably this exact number is an artifact; don’t over-emphasize.)</w:t>
      </w:r>
    </w:p>
    <w:p>
      <w:pPr>
        <w:pStyle w:val="BodyText"/>
      </w:pPr>
      <w:r>
        <w:t xml:space="preserve">Our findings are largely consistent with, but built from a far larger dataset than, those of Pregitzer and Euskirchen (2004</w:t>
      </w:r>
      <w:r>
        <w:t xml:space="preserve"> </w:t>
      </w:r>
      <w:hyperlink r:id="rId47">
        <w:r>
          <w:rPr>
            <w:rStyle w:val="Hyperlink"/>
          </w:rPr>
          <w:t xml:space="preserve">http://dx.doi.org/10.1111/j.1365-2486.2004.00866.x</w:t>
        </w:r>
      </w:hyperlink>
      <w:r>
        <w:t xml:space="preserve">), who found that NPP and NEP to be higher in intermediate-aged forests than older forests, and emphasize the importance of forest age at the biome scale.</w:t>
      </w:r>
      <w:r>
        <w:t xml:space="preserve"> </w:t>
      </w:r>
      <w:r>
        <w:t xml:space="preserve">Quickly-changing and age-dependent fluxes were also found in a number of previous syntheses (Amiro et al. 2010 10.1029/2010JG001390, Magnani et al. 2007 10.1038/nature05847).</w:t>
      </w:r>
    </w:p>
    <w:p>
      <w:pPr>
        <w:pStyle w:val="BodyText"/>
      </w:pPr>
      <w:r>
        <w:t xml:space="preserve">In contrast to most fluxes,</w:t>
      </w:r>
      <w:r>
        <w:t xml:space="preserve"> </w:t>
      </w:r>
      <m:oMath>
        <m:r>
          <m:t>N</m:t>
        </m:r>
        <m:r>
          <m:t>E</m:t>
        </m:r>
        <m:r>
          <m:t>P</m:t>
        </m:r>
      </m:oMath>
      <w:r>
        <w:t xml:space="preserve"> </w:t>
      </w:r>
      <w:r>
        <w:t xml:space="preserve">is highest at intermediate ages</w:t>
      </w:r>
    </w:p>
    <w:p>
      <w:pPr>
        <w:pStyle w:val="Heading3"/>
      </w:pPr>
      <w:bookmarkStart w:id="48" w:name="Xe274d8bfc31d8f186374f5425705e4c8c528185"/>
      <w:r>
        <w:t xml:space="preserve">Relevance for climate change prediction and mitigation</w:t>
      </w:r>
      <w:bookmarkEnd w:id="48"/>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w:t>
      </w:r>
      <w:r>
        <w:rPr>
          <w:b/>
          <w:i/>
        </w:rPr>
        <w:t xml:space="preserve">???</w:t>
      </w:r>
      <w:r>
        <w:rPr>
          <w:i/>
        </w:rPr>
        <w:t xml:space="preserve">, 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4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51" w:name="acknowledgements"/>
      <w:r>
        <w:t xml:space="preserve">Acknowledgements</w:t>
      </w:r>
      <w:bookmarkEnd w:id="51"/>
    </w:p>
    <w:p>
      <w:pPr>
        <w:pStyle w:val="FirstParagraph"/>
      </w:pPr>
      <w:r>
        <w:t xml:space="preserve">All researchers whose data is included in</w:t>
      </w:r>
      <w:r>
        <w:t xml:space="preserve"> </w:t>
      </w:r>
      <w:r>
        <w:rPr>
          <w:i/>
        </w:rPr>
        <w:t xml:space="preserve">ForC</w:t>
      </w:r>
      <w:r>
        <w:t xml:space="preserve"> </w:t>
      </w:r>
      <w:r>
        <w:t xml:space="preserve">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52" w:name="data-availability-statement"/>
      <w:r>
        <w:t xml:space="preserve">Data availability statement</w:t>
      </w:r>
      <w:bookmarkEnd w:id="5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3" w:name="orcid-id"/>
      <w:r>
        <w:t xml:space="preserve">ORCID iD</w:t>
      </w:r>
      <w:bookmarkEnd w:id="53"/>
    </w:p>
    <w:p>
      <w:pPr>
        <w:pStyle w:val="FirstParagraph"/>
      </w:pPr>
      <w:r>
        <w:t xml:space="preserve">Kristina J. Anderson-Teixeira:</w:t>
      </w:r>
      <w:r>
        <w:t xml:space="preserve"> </w:t>
      </w:r>
      <w:hyperlink r:id="rId54">
        <w:r>
          <w:rPr>
            <w:rStyle w:val="Hyperlink"/>
          </w:rPr>
          <w:t xml:space="preserve">https://orcid.org/0000-0001-8461-9713</w:t>
        </w:r>
      </w:hyperlink>
    </w:p>
    <w:p>
      <w:pPr>
        <w:pStyle w:val="Heading2"/>
      </w:pPr>
      <w:bookmarkStart w:id="55" w:name="references"/>
      <w:r>
        <w:t xml:space="preserve">References</w:t>
      </w:r>
      <w:bookmarkEnd w:id="55"/>
    </w:p>
    <w:bookmarkStart w:id="113" w:name="refs"/>
    <w:bookmarkStart w:id="5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6">
        <w:r>
          <w:rPr>
            <w:rStyle w:val="Hyperlink"/>
          </w:rPr>
          <w:t xml:space="preserve">http://www.blackwell-synergy.com/doi/abs/10.1111/j.1461-0248.2006.00914.x</w:t>
        </w:r>
      </w:hyperlink>
    </w:p>
    <w:bookmarkEnd w:id="57"/>
    <w:bookmarkStart w:id="5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8">
        <w:r>
          <w:rPr>
            <w:rStyle w:val="Hyperlink"/>
          </w:rPr>
          <w:t xml:space="preserve">https://zenodo.org/record/3983644</w:t>
        </w:r>
      </w:hyperlink>
    </w:p>
    <w:bookmarkEnd w:id="59"/>
    <w:bookmarkStart w:id="6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0">
        <w:r>
          <w:rPr>
            <w:rStyle w:val="Hyperlink"/>
          </w:rPr>
          <w:t xml:space="preserve">http://onlinelibrary.wiley.com/doi/10.1111/gcb.12712/abstract</w:t>
        </w:r>
      </w:hyperlink>
    </w:p>
    <w:bookmarkEnd w:id="61"/>
    <w:bookmarkStart w:id="6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2">
        <w:r>
          <w:rPr>
            <w:rStyle w:val="Hyperlink"/>
          </w:rPr>
          <w:t xml:space="preserve">http://doi.wiley.com/10.1002/ecy.2229</w:t>
        </w:r>
      </w:hyperlink>
    </w:p>
    <w:bookmarkEnd w:id="63"/>
    <w:bookmarkStart w:id="6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64">
        <w:r>
          <w:rPr>
            <w:rStyle w:val="Hyperlink"/>
          </w:rPr>
          <w:t xml:space="preserve">http://onlinelibrary.wiley.com/doi/10.1111/gcb.13226/abstract</w:t>
        </w:r>
      </w:hyperlink>
    </w:p>
    <w:bookmarkEnd w:id="65"/>
    <w:bookmarkStart w:id="67"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6">
        <w:r>
          <w:rPr>
            <w:rStyle w:val="Hyperlink"/>
          </w:rPr>
          <w:t xml:space="preserve">http://journals.ametsoc.org/doi/abs/10.1175/1520-0477(2001)082%3C2415:FANTTS%3E2.3.CO;2</w:t>
        </w:r>
      </w:hyperlink>
    </w:p>
    <w:bookmarkEnd w:id="67"/>
    <w:bookmarkStart w:id="68"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8"/>
    <w:bookmarkStart w:id="70"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9">
        <w:r>
          <w:rPr>
            <w:rStyle w:val="Hyperlink"/>
          </w:rPr>
          <w:t xml:space="preserve">http://www.biogeosciences.net/7/1915/2010/</w:t>
        </w:r>
      </w:hyperlink>
    </w:p>
    <w:bookmarkEnd w:id="70"/>
    <w:bookmarkStart w:id="72"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71">
        <w:r>
          <w:rPr>
            <w:rStyle w:val="Hyperlink"/>
          </w:rPr>
          <w:t xml:space="preserve">https://doi.org/10.1007/s10712-019-09528-w</w:t>
        </w:r>
      </w:hyperlink>
    </w:p>
    <w:bookmarkEnd w:id="72"/>
    <w:bookmarkStart w:id="74"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73">
        <w:r>
          <w:rPr>
            <w:rStyle w:val="Hyperlink"/>
          </w:rPr>
          <w:t xml:space="preserve">https://onlinelibrary.wiley.com/doi/abs/10.1046/j.1461-0248.2003.00547.x</w:t>
        </w:r>
      </w:hyperlink>
    </w:p>
    <w:bookmarkEnd w:id="74"/>
    <w:bookmarkStart w:id="76"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5">
        <w:r>
          <w:rPr>
            <w:rStyle w:val="Hyperlink"/>
          </w:rPr>
          <w:t xml:space="preserve">http://www.nature.com/articles/s41586-020-2686-x</w:t>
        </w:r>
      </w:hyperlink>
    </w:p>
    <w:bookmarkEnd w:id="76"/>
    <w:bookmarkStart w:id="78"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7">
        <w:r>
          <w:rPr>
            <w:rStyle w:val="Hyperlink"/>
          </w:rPr>
          <w:t xml:space="preserve">http://science.sciencemag.org/content/361/6407/1108</w:t>
        </w:r>
      </w:hyperlink>
    </w:p>
    <w:bookmarkEnd w:id="78"/>
    <w:bookmarkStart w:id="80"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9">
        <w:r>
          <w:rPr>
            <w:rStyle w:val="Hyperlink"/>
          </w:rPr>
          <w:t xml:space="preserve">http://www.nature.com/articles/s41558-020-0738-8</w:t>
        </w:r>
      </w:hyperlink>
    </w:p>
    <w:bookmarkEnd w:id="80"/>
    <w:bookmarkStart w:id="82"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81">
        <w:r>
          <w:rPr>
            <w:rStyle w:val="Hyperlink"/>
          </w:rPr>
          <w:t xml:space="preserve">https://www.nature.com/articles/nclimate3227</w:t>
        </w:r>
      </w:hyperlink>
    </w:p>
    <w:bookmarkEnd w:id="82"/>
    <w:bookmarkStart w:id="84"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83">
        <w:r>
          <w:rPr>
            <w:rStyle w:val="Hyperlink"/>
          </w:rPr>
          <w:t xml:space="preserve">http://www.pnas.org/lookup/doi/10.1073/pnas.1710465114</w:t>
        </w:r>
      </w:hyperlink>
    </w:p>
    <w:bookmarkEnd w:id="84"/>
    <w:bookmarkStart w:id="86"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5">
        <w:r>
          <w:rPr>
            <w:rStyle w:val="Hyperlink"/>
          </w:rPr>
          <w:t xml:space="preserve">http://www.sciencemag.org/cgi/doi/10.1126/science.1244693</w:t>
        </w:r>
      </w:hyperlink>
    </w:p>
    <w:bookmarkEnd w:id="86"/>
    <w:bookmarkStart w:id="88"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7">
        <w:r>
          <w:rPr>
            <w:rStyle w:val="Hyperlink"/>
          </w:rPr>
          <w:t xml:space="preserve">http://www.nature.com/articles/s41559-018-0626-z</w:t>
        </w:r>
      </w:hyperlink>
    </w:p>
    <w:bookmarkEnd w:id="88"/>
    <w:bookmarkStart w:id="90"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9">
        <w:r>
          <w:rPr>
            <w:rStyle w:val="Hyperlink"/>
          </w:rPr>
          <w:t xml:space="preserve">https://onlinelibrary.wiley.com/doi/abs/10.1111/gcb.14144</w:t>
        </w:r>
      </w:hyperlink>
    </w:p>
    <w:bookmarkEnd w:id="90"/>
    <w:bookmarkStart w:id="92"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91">
        <w:r>
          <w:rPr>
            <w:rStyle w:val="Hyperlink"/>
          </w:rPr>
          <w:t xml:space="preserve">http://doi.wiley.com/10.1111/nph.15110</w:t>
        </w:r>
      </w:hyperlink>
    </w:p>
    <w:bookmarkEnd w:id="92"/>
    <w:bookmarkStart w:id="94"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93">
        <w:r>
          <w:rPr>
            <w:rStyle w:val="Hyperlink"/>
          </w:rPr>
          <w:t xml:space="preserve">https://www.mdpi.com/2072-4292/11/21/2563</w:t>
        </w:r>
      </w:hyperlink>
    </w:p>
    <w:bookmarkEnd w:id="94"/>
    <w:bookmarkStart w:id="96"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5">
        <w:r>
          <w:rPr>
            <w:rStyle w:val="Hyperlink"/>
          </w:rPr>
          <w:t xml:space="preserve">https://onlinelibrary.wiley.com/doi/abs/10.1111/geb.12747</w:t>
        </w:r>
      </w:hyperlink>
    </w:p>
    <w:bookmarkEnd w:id="96"/>
    <w:bookmarkStart w:id="98"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7">
        <w:r>
          <w:rPr>
            <w:rStyle w:val="Hyperlink"/>
          </w:rPr>
          <w:t xml:space="preserve">http://onlinelibrary.wiley.com/doi/abs/10.1111/j.1365-2486.2007.01439.x</w:t>
        </w:r>
      </w:hyperlink>
    </w:p>
    <w:bookmarkEnd w:id="98"/>
    <w:bookmarkStart w:id="10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9">
        <w:r>
          <w:rPr>
            <w:rStyle w:val="Hyperlink"/>
          </w:rPr>
          <w:t xml:space="preserve">https://science.sciencemag.org/content/368/6494/eaaz9463</w:t>
        </w:r>
      </w:hyperlink>
    </w:p>
    <w:bookmarkEnd w:id="100"/>
    <w:bookmarkStart w:id="102"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01">
        <w:r>
          <w:rPr>
            <w:rStyle w:val="Hyperlink"/>
          </w:rPr>
          <w:t xml:space="preserve">http://www.sciencemag.org/content/early/2011/07/27/science.1201609.abstract</w:t>
        </w:r>
      </w:hyperlink>
    </w:p>
    <w:bookmarkEnd w:id="102"/>
    <w:bookmarkStart w:id="104"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03">
        <w:r>
          <w:rPr>
            <w:rStyle w:val="Hyperlink"/>
          </w:rPr>
          <w:t xml:space="preserve">http://www.pnas.org/lookup/doi/10.1073/pnas.1810512116</w:t>
        </w:r>
      </w:hyperlink>
    </w:p>
    <w:bookmarkEnd w:id="104"/>
    <w:bookmarkStart w:id="106"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5">
        <w:r>
          <w:rPr>
            <w:rStyle w:val="Hyperlink"/>
          </w:rPr>
          <w:t xml:space="preserve">http://onlinelibrary.wiley.com/doi/abs/10.1111/gcb.14767</w:t>
        </w:r>
      </w:hyperlink>
    </w:p>
    <w:bookmarkEnd w:id="106"/>
    <w:bookmarkStart w:id="108"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7">
        <w:r>
          <w:rPr>
            <w:rStyle w:val="Hyperlink"/>
          </w:rPr>
          <w:t xml:space="preserve">http://www.nature.com/articles/s41597-019-0196-1</w:t>
        </w:r>
      </w:hyperlink>
    </w:p>
    <w:bookmarkEnd w:id="108"/>
    <w:bookmarkStart w:id="110"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9">
        <w:r>
          <w:rPr>
            <w:rStyle w:val="Hyperlink"/>
          </w:rPr>
          <w:t xml:space="preserve">http://www.nature.com/articles/s41586-018-0411-9/</w:t>
        </w:r>
      </w:hyperlink>
    </w:p>
    <w:bookmarkEnd w:id="110"/>
    <w:bookmarkStart w:id="112"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11">
        <w:r>
          <w:rPr>
            <w:rStyle w:val="Hyperlink"/>
          </w:rPr>
          <w:t xml:space="preserve">http://doi.wiley.com/10.1111/ele.12765</w:t>
        </w:r>
      </w:hyperlink>
    </w:p>
    <w:bookmarkEnd w:id="112"/>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62" Target="http://doi.wiley.com/10.1002/ecy.2229" TargetMode="External" /><Relationship Type="http://schemas.openxmlformats.org/officeDocument/2006/relationships/hyperlink" Id="rId111" Target="http://doi.wiley.com/10.1111/ele.12765" TargetMode="External" /><Relationship Type="http://schemas.openxmlformats.org/officeDocument/2006/relationships/hyperlink" Id="rId91" Target="http://doi.wiley.com/10.1111/nph.15110" TargetMode="External" /><Relationship Type="http://schemas.openxmlformats.org/officeDocument/2006/relationships/hyperlink" Id="rId47" Target="http://dx.doi.org/10.1111/j.1365-2486.2004.00866.x" TargetMode="External" /><Relationship Type="http://schemas.openxmlformats.org/officeDocument/2006/relationships/hyperlink" Id="rId66" Target="http://journals.ametsoc.org/doi/abs/10.1175/1520-0477(2001)082%3C2415:FANTTS%3E2.3.CO;2"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64" Target="http://onlinelibrary.wiley.com/doi/10.1111/gcb.13226/abstract" TargetMode="External" /><Relationship Type="http://schemas.openxmlformats.org/officeDocument/2006/relationships/hyperlink" Id="rId105" Target="http://onlinelibrary.wiley.com/doi/abs/10.1111/gcb.14767" TargetMode="External" /><Relationship Type="http://schemas.openxmlformats.org/officeDocument/2006/relationships/hyperlink" Id="rId97" Target="http://onlinelibrary.wiley.com/doi/abs/10.1111/j.1365-2486.2007.01439.x" TargetMode="External" /><Relationship Type="http://schemas.openxmlformats.org/officeDocument/2006/relationships/hyperlink" Id="rId77" Target="http://science.sciencemag.org/content/361/6407/1108" TargetMode="External" /><Relationship Type="http://schemas.openxmlformats.org/officeDocument/2006/relationships/hyperlink" Id="rId69"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79" Target="http://www.nature.com/articles/s41558-020-0738-8" TargetMode="External" /><Relationship Type="http://schemas.openxmlformats.org/officeDocument/2006/relationships/hyperlink" Id="rId87" Target="http://www.nature.com/articles/s41559-018-0626-z" TargetMode="External" /><Relationship Type="http://schemas.openxmlformats.org/officeDocument/2006/relationships/hyperlink" Id="rId109" Target="http://www.nature.com/articles/s41586-018-0411-9/" TargetMode="External" /><Relationship Type="http://schemas.openxmlformats.org/officeDocument/2006/relationships/hyperlink" Id="rId75" Target="http://www.nature.com/articles/s41586-020-2686-x" TargetMode="External" /><Relationship Type="http://schemas.openxmlformats.org/officeDocument/2006/relationships/hyperlink" Id="rId107" Target="http://www.nature.com/articles/s41597-019-0196-1" TargetMode="External" /><Relationship Type="http://schemas.openxmlformats.org/officeDocument/2006/relationships/hyperlink" Id="rId83" Target="http://www.pnas.org/lookup/doi/10.1073/pnas.1710465114" TargetMode="External" /><Relationship Type="http://schemas.openxmlformats.org/officeDocument/2006/relationships/hyperlink" Id="rId103" Target="http://www.pnas.org/lookup/doi/10.1073/pnas.1810512116" TargetMode="External" /><Relationship Type="http://schemas.openxmlformats.org/officeDocument/2006/relationships/hyperlink" Id="rId85" Target="http://www.sciencemag.org/cgi/doi/10.1126/science.1244693" TargetMode="External" /><Relationship Type="http://schemas.openxmlformats.org/officeDocument/2006/relationships/hyperlink" Id="rId101" Target="http://www.sciencemag.org/content/early/2011/07/27/science.1201609.abstract" TargetMode="External" /><Relationship Type="http://schemas.openxmlformats.org/officeDocument/2006/relationships/hyperlink" Id="rId49" Target="https://carbon.nasa.gov/pdfs/CMS_Phase-1_Report_Final_optimized.pdf" TargetMode="External" /><Relationship Type="http://schemas.openxmlformats.org/officeDocument/2006/relationships/hyperlink" Id="rId50" Target="https://cmsflux.jpl.nasa.gov/get-data/publication-data-sets" TargetMode="External" /><Relationship Type="http://schemas.openxmlformats.org/officeDocument/2006/relationships/hyperlink" Id="rId71"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73" Target="https://onlinelibrary.wiley.com/doi/abs/10.1046/j.1461-0248.2003.00547.x" TargetMode="External" /><Relationship Type="http://schemas.openxmlformats.org/officeDocument/2006/relationships/hyperlink" Id="rId89" Target="https://onlinelibrary.wiley.com/doi/abs/10.1111/gcb.14144" TargetMode="External" /><Relationship Type="http://schemas.openxmlformats.org/officeDocument/2006/relationships/hyperlink" Id="rId95" Target="https://onlinelibrary.wiley.com/doi/abs/10.1111/geb.12747" TargetMode="External" /><Relationship Type="http://schemas.openxmlformats.org/officeDocument/2006/relationships/hyperlink" Id="rId54" Target="https://orcid.org/0000-0001-8461-9713" TargetMode="External" /><Relationship Type="http://schemas.openxmlformats.org/officeDocument/2006/relationships/hyperlink" Id="rId99" Target="https://science.sciencemag.org/content/368/6494/eaaz9463" TargetMode="External" /><Relationship Type="http://schemas.openxmlformats.org/officeDocument/2006/relationships/hyperlink" Id="rId93" Target="https://www.mdpi.com/2072-4292/11/21/2563" TargetMode="External" /><Relationship Type="http://schemas.openxmlformats.org/officeDocument/2006/relationships/hyperlink" Id="rId81"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doi.wiley.com/10.1002/ecy.2229" TargetMode="External" /><Relationship Type="http://schemas.openxmlformats.org/officeDocument/2006/relationships/hyperlink" Id="rId111" Target="http://doi.wiley.com/10.1111/ele.12765" TargetMode="External" /><Relationship Type="http://schemas.openxmlformats.org/officeDocument/2006/relationships/hyperlink" Id="rId91" Target="http://doi.wiley.com/10.1111/nph.15110" TargetMode="External" /><Relationship Type="http://schemas.openxmlformats.org/officeDocument/2006/relationships/hyperlink" Id="rId47" Target="http://dx.doi.org/10.1111/j.1365-2486.2004.00866.x" TargetMode="External" /><Relationship Type="http://schemas.openxmlformats.org/officeDocument/2006/relationships/hyperlink" Id="rId66" Target="http://journals.ametsoc.org/doi/abs/10.1175/1520-0477(2001)082%3C2415:FANTTS%3E2.3.CO;2"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64" Target="http://onlinelibrary.wiley.com/doi/10.1111/gcb.13226/abstract" TargetMode="External" /><Relationship Type="http://schemas.openxmlformats.org/officeDocument/2006/relationships/hyperlink" Id="rId105" Target="http://onlinelibrary.wiley.com/doi/abs/10.1111/gcb.14767" TargetMode="External" /><Relationship Type="http://schemas.openxmlformats.org/officeDocument/2006/relationships/hyperlink" Id="rId97" Target="http://onlinelibrary.wiley.com/doi/abs/10.1111/j.1365-2486.2007.01439.x" TargetMode="External" /><Relationship Type="http://schemas.openxmlformats.org/officeDocument/2006/relationships/hyperlink" Id="rId77" Target="http://science.sciencemag.org/content/361/6407/1108" TargetMode="External" /><Relationship Type="http://schemas.openxmlformats.org/officeDocument/2006/relationships/hyperlink" Id="rId69"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79" Target="http://www.nature.com/articles/s41558-020-0738-8" TargetMode="External" /><Relationship Type="http://schemas.openxmlformats.org/officeDocument/2006/relationships/hyperlink" Id="rId87" Target="http://www.nature.com/articles/s41559-018-0626-z" TargetMode="External" /><Relationship Type="http://schemas.openxmlformats.org/officeDocument/2006/relationships/hyperlink" Id="rId109" Target="http://www.nature.com/articles/s41586-018-0411-9/" TargetMode="External" /><Relationship Type="http://schemas.openxmlformats.org/officeDocument/2006/relationships/hyperlink" Id="rId75" Target="http://www.nature.com/articles/s41586-020-2686-x" TargetMode="External" /><Relationship Type="http://schemas.openxmlformats.org/officeDocument/2006/relationships/hyperlink" Id="rId107" Target="http://www.nature.com/articles/s41597-019-0196-1" TargetMode="External" /><Relationship Type="http://schemas.openxmlformats.org/officeDocument/2006/relationships/hyperlink" Id="rId83" Target="http://www.pnas.org/lookup/doi/10.1073/pnas.1710465114" TargetMode="External" /><Relationship Type="http://schemas.openxmlformats.org/officeDocument/2006/relationships/hyperlink" Id="rId103" Target="http://www.pnas.org/lookup/doi/10.1073/pnas.1810512116" TargetMode="External" /><Relationship Type="http://schemas.openxmlformats.org/officeDocument/2006/relationships/hyperlink" Id="rId85" Target="http://www.sciencemag.org/cgi/doi/10.1126/science.1244693" TargetMode="External" /><Relationship Type="http://schemas.openxmlformats.org/officeDocument/2006/relationships/hyperlink" Id="rId101" Target="http://www.sciencemag.org/content/early/2011/07/27/science.1201609.abstract" TargetMode="External" /><Relationship Type="http://schemas.openxmlformats.org/officeDocument/2006/relationships/hyperlink" Id="rId49" Target="https://carbon.nasa.gov/pdfs/CMS_Phase-1_Report_Final_optimized.pdf" TargetMode="External" /><Relationship Type="http://schemas.openxmlformats.org/officeDocument/2006/relationships/hyperlink" Id="rId50" Target="https://cmsflux.jpl.nasa.gov/get-data/publication-data-sets" TargetMode="External" /><Relationship Type="http://schemas.openxmlformats.org/officeDocument/2006/relationships/hyperlink" Id="rId71"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73" Target="https://onlinelibrary.wiley.com/doi/abs/10.1046/j.1461-0248.2003.00547.x" TargetMode="External" /><Relationship Type="http://schemas.openxmlformats.org/officeDocument/2006/relationships/hyperlink" Id="rId89" Target="https://onlinelibrary.wiley.com/doi/abs/10.1111/gcb.14144" TargetMode="External" /><Relationship Type="http://schemas.openxmlformats.org/officeDocument/2006/relationships/hyperlink" Id="rId95" Target="https://onlinelibrary.wiley.com/doi/abs/10.1111/geb.12747" TargetMode="External" /><Relationship Type="http://schemas.openxmlformats.org/officeDocument/2006/relationships/hyperlink" Id="rId54" Target="https://orcid.org/0000-0001-8461-9713" TargetMode="External" /><Relationship Type="http://schemas.openxmlformats.org/officeDocument/2006/relationships/hyperlink" Id="rId99" Target="https://science.sciencemag.org/content/368/6494/eaaz9463" TargetMode="External" /><Relationship Type="http://schemas.openxmlformats.org/officeDocument/2006/relationships/hyperlink" Id="rId93" Target="https://www.mdpi.com/2072-4292/11/21/2563" TargetMode="External" /><Relationship Type="http://schemas.openxmlformats.org/officeDocument/2006/relationships/hyperlink" Id="rId81"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2020-09-29T19:41:51Z</dcterms:created>
  <dcterms:modified xsi:type="dcterms:W3CDTF">2020-09-29T19:41:51Z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